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Feudal Japan Vocabulary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Block: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Han-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Daiymo-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Samurai-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Shogun-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Uji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Koku-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Amaterasu-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Bushido-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Emperor-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Shiro-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Directions: </w:t>
      </w:r>
      <w:r w:rsidDel="00000000" w:rsidR="00000000" w:rsidRPr="00000000">
        <w:rPr>
          <w:i w:val="1"/>
          <w:rtl w:val="0"/>
        </w:rPr>
        <w:t xml:space="preserve">Just like in Feudal Europe there is a class system. Using the pyramid below, draw the relationship between the social classes of Feudal Japan. Draw arrows to demonstrate what each relationship owes one another (taxes, protection, loyalty, food)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476250</wp:posOffset>
            </wp:positionH>
            <wp:positionV relativeFrom="paragraph">
              <wp:posOffset>781050</wp:posOffset>
            </wp:positionV>
            <wp:extent cx="4757738" cy="504608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8538" l="12144" r="12713" t="11764"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50460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